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1540E3" w:rsidRPr="001540E3" w14:paraId="1C323609" w14:textId="77777777" w:rsidTr="001540E3">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F399F82" w14:textId="77777777" w:rsidR="001540E3" w:rsidRPr="001540E3" w:rsidRDefault="001540E3" w:rsidP="001540E3">
            <w:pPr>
              <w:rPr>
                <w:rFonts w:ascii="Tahoma" w:hAnsi="Tahoma" w:cs="Tahoma"/>
                <w:sz w:val="20"/>
                <w:szCs w:val="20"/>
              </w:rPr>
            </w:pPr>
            <w:r w:rsidRPr="001540E3">
              <w:rPr>
                <w:rFonts w:ascii="Tahoma" w:hAnsi="Tahoma" w:cs="Tahoma"/>
                <w:sz w:val="20"/>
                <w:szCs w:val="20"/>
              </w:rPr>
              <w:t>30 Kasım 2024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0A8F3E0" w14:textId="77777777" w:rsidR="001540E3" w:rsidRPr="001540E3" w:rsidRDefault="001540E3" w:rsidP="001540E3">
            <w:pPr>
              <w:rPr>
                <w:rFonts w:ascii="Tahoma" w:hAnsi="Tahoma" w:cs="Tahoma"/>
                <w:sz w:val="20"/>
                <w:szCs w:val="20"/>
              </w:rPr>
            </w:pPr>
            <w:r w:rsidRPr="001540E3">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CA0B450" w14:textId="77777777" w:rsidR="001540E3" w:rsidRPr="001540E3" w:rsidRDefault="001540E3" w:rsidP="001540E3">
            <w:pPr>
              <w:jc w:val="right"/>
              <w:rPr>
                <w:rFonts w:ascii="Tahoma" w:hAnsi="Tahoma" w:cs="Tahoma"/>
                <w:sz w:val="20"/>
                <w:szCs w:val="20"/>
              </w:rPr>
            </w:pPr>
            <w:proofErr w:type="gramStart"/>
            <w:r w:rsidRPr="001540E3">
              <w:rPr>
                <w:rFonts w:ascii="Tahoma" w:hAnsi="Tahoma" w:cs="Tahoma"/>
                <w:sz w:val="20"/>
                <w:szCs w:val="20"/>
              </w:rPr>
              <w:t>Sayı :</w:t>
            </w:r>
            <w:proofErr w:type="gramEnd"/>
            <w:r w:rsidRPr="001540E3">
              <w:rPr>
                <w:rFonts w:ascii="Tahoma" w:hAnsi="Tahoma" w:cs="Tahoma"/>
                <w:sz w:val="20"/>
                <w:szCs w:val="20"/>
              </w:rPr>
              <w:t xml:space="preserve"> 32738</w:t>
            </w:r>
          </w:p>
        </w:tc>
      </w:tr>
      <w:tr w:rsidR="001540E3" w:rsidRPr="001540E3" w14:paraId="0439745B" w14:textId="77777777" w:rsidTr="001540E3">
        <w:trPr>
          <w:trHeight w:val="480"/>
        </w:trPr>
        <w:tc>
          <w:tcPr>
            <w:tcW w:w="8789" w:type="dxa"/>
            <w:gridSpan w:val="3"/>
            <w:tcMar>
              <w:top w:w="0" w:type="dxa"/>
              <w:left w:w="108" w:type="dxa"/>
              <w:bottom w:w="0" w:type="dxa"/>
              <w:right w:w="108" w:type="dxa"/>
            </w:tcMar>
            <w:vAlign w:val="center"/>
            <w:hideMark/>
          </w:tcPr>
          <w:p w14:paraId="4D4FA9FF" w14:textId="77777777" w:rsidR="001540E3" w:rsidRPr="001540E3" w:rsidRDefault="001540E3" w:rsidP="001540E3">
            <w:pPr>
              <w:jc w:val="center"/>
              <w:rPr>
                <w:rFonts w:ascii="Tahoma" w:hAnsi="Tahoma" w:cs="Tahoma"/>
                <w:sz w:val="20"/>
                <w:szCs w:val="20"/>
              </w:rPr>
            </w:pPr>
            <w:r w:rsidRPr="001540E3">
              <w:rPr>
                <w:rFonts w:ascii="Tahoma" w:hAnsi="Tahoma" w:cs="Tahoma"/>
                <w:b/>
                <w:bCs/>
                <w:sz w:val="20"/>
                <w:szCs w:val="20"/>
              </w:rPr>
              <w:t>TEBLİĞ</w:t>
            </w:r>
          </w:p>
        </w:tc>
      </w:tr>
      <w:tr w:rsidR="001540E3" w:rsidRPr="001540E3" w14:paraId="43799686" w14:textId="77777777" w:rsidTr="001540E3">
        <w:trPr>
          <w:trHeight w:val="480"/>
        </w:trPr>
        <w:tc>
          <w:tcPr>
            <w:tcW w:w="8789" w:type="dxa"/>
            <w:gridSpan w:val="3"/>
            <w:tcMar>
              <w:top w:w="0" w:type="dxa"/>
              <w:left w:w="108" w:type="dxa"/>
              <w:bottom w:w="0" w:type="dxa"/>
              <w:right w:w="108" w:type="dxa"/>
            </w:tcMar>
            <w:vAlign w:val="center"/>
            <w:hideMark/>
          </w:tcPr>
          <w:p w14:paraId="2B317CEF" w14:textId="77777777" w:rsidR="001540E3" w:rsidRPr="001540E3" w:rsidRDefault="001540E3" w:rsidP="001540E3">
            <w:pPr>
              <w:jc w:val="both"/>
              <w:rPr>
                <w:rFonts w:ascii="Tahoma" w:hAnsi="Tahoma" w:cs="Tahoma"/>
                <w:sz w:val="20"/>
                <w:szCs w:val="20"/>
                <w:u w:val="single"/>
              </w:rPr>
            </w:pPr>
            <w:r w:rsidRPr="001540E3">
              <w:rPr>
                <w:rFonts w:ascii="Tahoma" w:hAnsi="Tahoma" w:cs="Tahoma"/>
                <w:sz w:val="20"/>
                <w:szCs w:val="20"/>
                <w:u w:val="single"/>
              </w:rPr>
              <w:t>Hazine ve Maliye Bakanlığı (Gelir İdaresi Başkanlığı)’</w:t>
            </w:r>
            <w:proofErr w:type="spellStart"/>
            <w:r w:rsidRPr="001540E3">
              <w:rPr>
                <w:rFonts w:ascii="Tahoma" w:hAnsi="Tahoma" w:cs="Tahoma"/>
                <w:sz w:val="20"/>
                <w:szCs w:val="20"/>
                <w:u w:val="single"/>
              </w:rPr>
              <w:t>ndan</w:t>
            </w:r>
            <w:proofErr w:type="spellEnd"/>
            <w:r w:rsidRPr="001540E3">
              <w:rPr>
                <w:rFonts w:ascii="Tahoma" w:hAnsi="Tahoma" w:cs="Tahoma"/>
                <w:sz w:val="20"/>
                <w:szCs w:val="20"/>
                <w:u w:val="single"/>
              </w:rPr>
              <w:t>:</w:t>
            </w:r>
          </w:p>
          <w:p w14:paraId="2492A74E" w14:textId="77777777" w:rsidR="001540E3" w:rsidRPr="001540E3" w:rsidRDefault="001540E3" w:rsidP="001540E3">
            <w:pPr>
              <w:jc w:val="center"/>
              <w:rPr>
                <w:rFonts w:ascii="Tahoma" w:hAnsi="Tahoma" w:cs="Tahoma"/>
                <w:b/>
                <w:bCs/>
                <w:sz w:val="20"/>
                <w:szCs w:val="20"/>
              </w:rPr>
            </w:pPr>
            <w:r w:rsidRPr="001540E3">
              <w:rPr>
                <w:rFonts w:ascii="Tahoma" w:hAnsi="Tahoma" w:cs="Tahoma"/>
                <w:b/>
                <w:bCs/>
                <w:sz w:val="20"/>
                <w:szCs w:val="20"/>
              </w:rPr>
              <w:t>VERGİ USUL KANUNU GENEL TEBLİĞİ (SIRA NO: 459)’NDE</w:t>
            </w:r>
          </w:p>
          <w:p w14:paraId="292923F1" w14:textId="77777777" w:rsidR="001540E3" w:rsidRPr="001540E3" w:rsidRDefault="001540E3" w:rsidP="001540E3">
            <w:pPr>
              <w:jc w:val="center"/>
              <w:rPr>
                <w:rFonts w:ascii="Tahoma" w:hAnsi="Tahoma" w:cs="Tahoma"/>
                <w:b/>
                <w:bCs/>
                <w:sz w:val="20"/>
                <w:szCs w:val="20"/>
              </w:rPr>
            </w:pPr>
            <w:r w:rsidRPr="001540E3">
              <w:rPr>
                <w:rFonts w:ascii="Tahoma" w:hAnsi="Tahoma" w:cs="Tahoma"/>
                <w:b/>
                <w:bCs/>
                <w:sz w:val="20"/>
                <w:szCs w:val="20"/>
              </w:rPr>
              <w:t>DEĞİŞİKLİK YAPILMASINA DAİR TEBLİĞ</w:t>
            </w:r>
          </w:p>
          <w:p w14:paraId="2A54AEC4" w14:textId="77777777" w:rsidR="001540E3" w:rsidRPr="001540E3" w:rsidRDefault="001540E3" w:rsidP="001540E3">
            <w:pPr>
              <w:jc w:val="center"/>
              <w:rPr>
                <w:rFonts w:ascii="Tahoma" w:hAnsi="Tahoma" w:cs="Tahoma"/>
                <w:b/>
                <w:bCs/>
                <w:sz w:val="20"/>
                <w:szCs w:val="20"/>
              </w:rPr>
            </w:pPr>
            <w:r w:rsidRPr="001540E3">
              <w:rPr>
                <w:rFonts w:ascii="Tahoma" w:hAnsi="Tahoma" w:cs="Tahoma"/>
                <w:b/>
                <w:bCs/>
                <w:sz w:val="20"/>
                <w:szCs w:val="20"/>
              </w:rPr>
              <w:t>(SIRA NO: 575)</w:t>
            </w:r>
          </w:p>
          <w:p w14:paraId="0DC1635B" w14:textId="77777777" w:rsidR="001540E3" w:rsidRPr="001540E3" w:rsidRDefault="001540E3" w:rsidP="001540E3">
            <w:pPr>
              <w:jc w:val="both"/>
              <w:rPr>
                <w:rFonts w:ascii="Tahoma" w:hAnsi="Tahoma" w:cs="Tahoma"/>
                <w:b/>
                <w:bCs/>
                <w:sz w:val="20"/>
                <w:szCs w:val="20"/>
              </w:rPr>
            </w:pPr>
            <w:r w:rsidRPr="001540E3">
              <w:rPr>
                <w:rFonts w:ascii="Tahoma" w:hAnsi="Tahoma" w:cs="Tahoma"/>
                <w:b/>
                <w:bCs/>
                <w:sz w:val="20"/>
                <w:szCs w:val="20"/>
              </w:rPr>
              <w:t> </w:t>
            </w:r>
          </w:p>
          <w:p w14:paraId="4F0D5ED8" w14:textId="77777777" w:rsidR="001540E3" w:rsidRPr="001540E3" w:rsidRDefault="001540E3" w:rsidP="001540E3">
            <w:pPr>
              <w:jc w:val="both"/>
              <w:rPr>
                <w:rFonts w:ascii="Tahoma" w:hAnsi="Tahoma" w:cs="Tahoma"/>
                <w:sz w:val="20"/>
                <w:szCs w:val="20"/>
              </w:rPr>
            </w:pPr>
            <w:r w:rsidRPr="001540E3">
              <w:rPr>
                <w:rFonts w:ascii="Tahoma" w:hAnsi="Tahoma" w:cs="Tahoma"/>
                <w:b/>
                <w:bCs/>
                <w:sz w:val="20"/>
                <w:szCs w:val="20"/>
              </w:rPr>
              <w:t>MADDE 1-</w:t>
            </w:r>
            <w:r w:rsidRPr="001540E3">
              <w:rPr>
                <w:rFonts w:ascii="Tahoma" w:hAnsi="Tahoma" w:cs="Tahoma"/>
                <w:sz w:val="20"/>
                <w:szCs w:val="20"/>
              </w:rPr>
              <w:t> 24/12/2015 tarihli ve 29572 sayılı Resmî Gazete’de yayımlanan Vergi Usul Kanunu Genel Tebliği (Sıra No: 459)’nin “4.1. Kapsam ve Tutar” başlıklı bölümünde bulunan “7.000” ibareleri “30.000” şeklinde, aynı bölümün dördüncü paragrafından sonra yer alan örnekteki “20.000” ibaresi “35.000”, beşinci paragrafından sonra yer alan ilk örnekteki “15.000” ibaresi “45.000”, ikinci örnekteki “25.000” ibaresi “90.000” şeklinde değiştirilmiştir.</w:t>
            </w:r>
          </w:p>
          <w:p w14:paraId="4EFC5491" w14:textId="77777777" w:rsidR="001540E3" w:rsidRPr="001540E3" w:rsidRDefault="001540E3" w:rsidP="001540E3">
            <w:pPr>
              <w:jc w:val="both"/>
              <w:rPr>
                <w:rFonts w:ascii="Tahoma" w:hAnsi="Tahoma" w:cs="Tahoma"/>
                <w:sz w:val="20"/>
                <w:szCs w:val="20"/>
              </w:rPr>
            </w:pPr>
            <w:r w:rsidRPr="001540E3">
              <w:rPr>
                <w:rFonts w:ascii="Tahoma" w:hAnsi="Tahoma" w:cs="Tahoma"/>
                <w:b/>
                <w:bCs/>
                <w:sz w:val="20"/>
                <w:szCs w:val="20"/>
              </w:rPr>
              <w:t>MADDE 2- </w:t>
            </w:r>
            <w:r w:rsidRPr="001540E3">
              <w:rPr>
                <w:rFonts w:ascii="Tahoma" w:hAnsi="Tahoma" w:cs="Tahoma"/>
                <w:sz w:val="20"/>
                <w:szCs w:val="20"/>
              </w:rPr>
              <w:t>Aynı Tebliğin “4.1.1. Aynı Günde Aynı Kişi veya Kurumlarla Yapılan İşlemler” başlıklı bölümündeki örnek aşağıdaki şekilde değiştirilmiştir.</w:t>
            </w:r>
          </w:p>
          <w:p w14:paraId="41451F2F" w14:textId="77777777" w:rsidR="001540E3" w:rsidRPr="001540E3" w:rsidRDefault="001540E3" w:rsidP="001540E3">
            <w:pPr>
              <w:jc w:val="both"/>
              <w:rPr>
                <w:rFonts w:ascii="Tahoma" w:hAnsi="Tahoma" w:cs="Tahoma"/>
                <w:sz w:val="20"/>
                <w:szCs w:val="20"/>
              </w:rPr>
            </w:pPr>
            <w:r w:rsidRPr="001540E3">
              <w:rPr>
                <w:rFonts w:ascii="Tahoma" w:hAnsi="Tahoma" w:cs="Tahoma"/>
                <w:sz w:val="20"/>
                <w:szCs w:val="20"/>
              </w:rPr>
              <w:t> “</w:t>
            </w:r>
            <w:r w:rsidRPr="001540E3">
              <w:rPr>
                <w:rFonts w:ascii="Tahoma" w:hAnsi="Tahoma" w:cs="Tahoma"/>
                <w:b/>
                <w:bCs/>
                <w:sz w:val="20"/>
                <w:szCs w:val="20"/>
              </w:rPr>
              <w:t>Örnek: </w:t>
            </w:r>
            <w:r w:rsidRPr="001540E3">
              <w:rPr>
                <w:rFonts w:ascii="Tahoma" w:hAnsi="Tahoma" w:cs="Tahoma"/>
                <w:sz w:val="20"/>
                <w:szCs w:val="20"/>
              </w:rPr>
              <w:t>Tevsik zorunluluğu kapsamında olan (AB) A.Ş., aynı gün içerisinde (VY) Ltd. Şti.’nden sırasıyla 10.000 TL, 10.000 TL, 8.000 TL ve 3.000 TL tutarında ayrı ayrı mal alımları gerçekleştirmiştir. Tevsik zorunluluğu kapsamında olan (AB) A.Ş.’</w:t>
            </w:r>
            <w:proofErr w:type="spellStart"/>
            <w:r w:rsidRPr="001540E3">
              <w:rPr>
                <w:rFonts w:ascii="Tahoma" w:hAnsi="Tahoma" w:cs="Tahoma"/>
                <w:sz w:val="20"/>
                <w:szCs w:val="20"/>
              </w:rPr>
              <w:t>nin</w:t>
            </w:r>
            <w:proofErr w:type="spellEnd"/>
            <w:r w:rsidRPr="001540E3">
              <w:rPr>
                <w:rFonts w:ascii="Tahoma" w:hAnsi="Tahoma" w:cs="Tahoma"/>
                <w:sz w:val="20"/>
                <w:szCs w:val="20"/>
              </w:rPr>
              <w:t xml:space="preserve"> (VY) Ltd. Şti.’nden aynı günde yaptığı mal alımları toplamı 3.000 TL’lik alımla 30.000 TL’lik haddi aştığından, son işleme ait tahsilat ve ödemelerin tevsik zorunluluğu kapsamında aracı finansal kurumlar kanalıyla yapılması gerekmektedir.</w:t>
            </w:r>
          </w:p>
          <w:p w14:paraId="13CA261E" w14:textId="77777777" w:rsidR="001540E3" w:rsidRPr="001540E3" w:rsidRDefault="001540E3" w:rsidP="001540E3">
            <w:pPr>
              <w:jc w:val="both"/>
              <w:rPr>
                <w:rFonts w:ascii="Tahoma" w:hAnsi="Tahoma" w:cs="Tahoma"/>
                <w:sz w:val="20"/>
                <w:szCs w:val="20"/>
              </w:rPr>
            </w:pPr>
            <w:r w:rsidRPr="001540E3">
              <w:rPr>
                <w:rFonts w:ascii="Tahoma" w:hAnsi="Tahoma" w:cs="Tahoma"/>
                <w:sz w:val="20"/>
                <w:szCs w:val="20"/>
              </w:rPr>
              <w:t>Söz konusu tahsilat ve ödemelerde tevsik zorunluluğuna uyulmaması durumunda (AB) A.Ş. ile (VY) Ltd. Şti.’ne ayrı ayrı ceza uygulanacaktır.</w:t>
            </w:r>
          </w:p>
          <w:p w14:paraId="4D2510C8" w14:textId="77777777" w:rsidR="001540E3" w:rsidRPr="001540E3" w:rsidRDefault="001540E3" w:rsidP="001540E3">
            <w:pPr>
              <w:jc w:val="both"/>
              <w:rPr>
                <w:rFonts w:ascii="Tahoma" w:hAnsi="Tahoma" w:cs="Tahoma"/>
                <w:sz w:val="20"/>
                <w:szCs w:val="20"/>
              </w:rPr>
            </w:pPr>
            <w:r w:rsidRPr="001540E3">
              <w:rPr>
                <w:rFonts w:ascii="Tahoma" w:hAnsi="Tahoma" w:cs="Tahoma"/>
                <w:b/>
                <w:bCs/>
                <w:sz w:val="20"/>
                <w:szCs w:val="20"/>
              </w:rPr>
              <w:t>MADDE 3- </w:t>
            </w:r>
            <w:r w:rsidRPr="001540E3">
              <w:rPr>
                <w:rFonts w:ascii="Tahoma" w:hAnsi="Tahoma" w:cs="Tahoma"/>
                <w:sz w:val="20"/>
                <w:szCs w:val="20"/>
              </w:rPr>
              <w:t xml:space="preserve">Aynı Tebliğin “4.1.2. Kısım </w:t>
            </w:r>
            <w:proofErr w:type="spellStart"/>
            <w:r w:rsidRPr="001540E3">
              <w:rPr>
                <w:rFonts w:ascii="Tahoma" w:hAnsi="Tahoma" w:cs="Tahoma"/>
                <w:sz w:val="20"/>
                <w:szCs w:val="20"/>
              </w:rPr>
              <w:t>Kısım</w:t>
            </w:r>
            <w:proofErr w:type="spellEnd"/>
            <w:r w:rsidRPr="001540E3">
              <w:rPr>
                <w:rFonts w:ascii="Tahoma" w:hAnsi="Tahoma" w:cs="Tahoma"/>
                <w:sz w:val="20"/>
                <w:szCs w:val="20"/>
              </w:rPr>
              <w:t xml:space="preserve"> Yapılan Tahsilat ve Ödemeler” başlıklı bölümündeki örnek aşağıdaki şekilde değiştirilmiştir.</w:t>
            </w:r>
          </w:p>
          <w:p w14:paraId="2201B83A" w14:textId="77777777" w:rsidR="001540E3" w:rsidRPr="001540E3" w:rsidRDefault="001540E3" w:rsidP="001540E3">
            <w:pPr>
              <w:jc w:val="both"/>
              <w:rPr>
                <w:rFonts w:ascii="Tahoma" w:hAnsi="Tahoma" w:cs="Tahoma"/>
                <w:sz w:val="20"/>
                <w:szCs w:val="20"/>
              </w:rPr>
            </w:pPr>
            <w:r w:rsidRPr="001540E3">
              <w:rPr>
                <w:rFonts w:ascii="Tahoma" w:hAnsi="Tahoma" w:cs="Tahoma"/>
                <w:sz w:val="20"/>
                <w:szCs w:val="20"/>
              </w:rPr>
              <w:t>“</w:t>
            </w:r>
            <w:r w:rsidRPr="001540E3">
              <w:rPr>
                <w:rFonts w:ascii="Tahoma" w:hAnsi="Tahoma" w:cs="Tahoma"/>
                <w:b/>
                <w:bCs/>
                <w:sz w:val="20"/>
                <w:szCs w:val="20"/>
              </w:rPr>
              <w:t>Örnek: </w:t>
            </w:r>
            <w:r w:rsidRPr="001540E3">
              <w:rPr>
                <w:rFonts w:ascii="Tahoma" w:hAnsi="Tahoma" w:cs="Tahoma"/>
                <w:sz w:val="20"/>
                <w:szCs w:val="20"/>
              </w:rPr>
              <w:t xml:space="preserve">Avukatlık mesleğini icra eden mükellef (T), (K) </w:t>
            </w:r>
            <w:proofErr w:type="spellStart"/>
            <w:r w:rsidRPr="001540E3">
              <w:rPr>
                <w:rFonts w:ascii="Tahoma" w:hAnsi="Tahoma" w:cs="Tahoma"/>
                <w:sz w:val="20"/>
                <w:szCs w:val="20"/>
              </w:rPr>
              <w:t>A.Ş.’ye</w:t>
            </w:r>
            <w:proofErr w:type="spellEnd"/>
            <w:r w:rsidRPr="001540E3">
              <w:rPr>
                <w:rFonts w:ascii="Tahoma" w:hAnsi="Tahoma" w:cs="Tahoma"/>
                <w:sz w:val="20"/>
                <w:szCs w:val="20"/>
              </w:rPr>
              <w:t xml:space="preserve"> bir yıl süreyle vereceği hukuk danışmalığı hizmeti karşılığında 160.000 TL alacaktır. Aralarındaki anlaşma gereği (K) A.Ş., hizmet bedelini 15.000 TL’lik taksitler halinde ödeyecektir. Bu durumda serbest meslek makbuzunun, taksitlerin ödendiği tarihlerde 15.000 TL üzerinden düzenlenmesi tevsik zorunluluğunu ortadan kaldırmayacak, sözleşmenin toplam tutarı belirlenen haddi aştığından kısım </w:t>
            </w:r>
            <w:proofErr w:type="spellStart"/>
            <w:r w:rsidRPr="001540E3">
              <w:rPr>
                <w:rFonts w:ascii="Tahoma" w:hAnsi="Tahoma" w:cs="Tahoma"/>
                <w:sz w:val="20"/>
                <w:szCs w:val="20"/>
              </w:rPr>
              <w:t>kısım</w:t>
            </w:r>
            <w:proofErr w:type="spellEnd"/>
            <w:r w:rsidRPr="001540E3">
              <w:rPr>
                <w:rFonts w:ascii="Tahoma" w:hAnsi="Tahoma" w:cs="Tahoma"/>
                <w:sz w:val="20"/>
                <w:szCs w:val="20"/>
              </w:rPr>
              <w:t xml:space="preserve"> yapılan her bir tahsilat ve ödeme de aracı finansal kurumlar kanalıyla tevsik edilecektir.</w:t>
            </w:r>
          </w:p>
          <w:p w14:paraId="37054E4E" w14:textId="77777777" w:rsidR="001540E3" w:rsidRPr="001540E3" w:rsidRDefault="001540E3" w:rsidP="001540E3">
            <w:pPr>
              <w:jc w:val="both"/>
              <w:rPr>
                <w:rFonts w:ascii="Tahoma" w:hAnsi="Tahoma" w:cs="Tahoma"/>
                <w:sz w:val="20"/>
                <w:szCs w:val="20"/>
              </w:rPr>
            </w:pPr>
            <w:r w:rsidRPr="001540E3">
              <w:rPr>
                <w:rFonts w:ascii="Tahoma" w:hAnsi="Tahoma" w:cs="Tahoma"/>
                <w:sz w:val="20"/>
                <w:szCs w:val="20"/>
              </w:rPr>
              <w:t xml:space="preserve">Söz konusu tahsilat ve ödemelerde tevsik zorunluluğuna uyulmaması durumunda serbest meslek erbabı (T) ile (K) </w:t>
            </w:r>
            <w:proofErr w:type="spellStart"/>
            <w:r w:rsidRPr="001540E3">
              <w:rPr>
                <w:rFonts w:ascii="Tahoma" w:hAnsi="Tahoma" w:cs="Tahoma"/>
                <w:sz w:val="20"/>
                <w:szCs w:val="20"/>
              </w:rPr>
              <w:t>A.Ş.’ye</w:t>
            </w:r>
            <w:proofErr w:type="spellEnd"/>
            <w:r w:rsidRPr="001540E3">
              <w:rPr>
                <w:rFonts w:ascii="Tahoma" w:hAnsi="Tahoma" w:cs="Tahoma"/>
                <w:sz w:val="20"/>
                <w:szCs w:val="20"/>
              </w:rPr>
              <w:t xml:space="preserve"> ayrı ayrı ceza uygulanacaktır.</w:t>
            </w:r>
          </w:p>
          <w:p w14:paraId="6199D9E1" w14:textId="77777777" w:rsidR="001540E3" w:rsidRPr="001540E3" w:rsidRDefault="001540E3" w:rsidP="001540E3">
            <w:pPr>
              <w:jc w:val="both"/>
              <w:rPr>
                <w:rFonts w:ascii="Tahoma" w:hAnsi="Tahoma" w:cs="Tahoma"/>
                <w:sz w:val="20"/>
                <w:szCs w:val="20"/>
              </w:rPr>
            </w:pPr>
            <w:r w:rsidRPr="001540E3">
              <w:rPr>
                <w:rFonts w:ascii="Tahoma" w:hAnsi="Tahoma" w:cs="Tahoma"/>
                <w:b/>
                <w:bCs/>
                <w:sz w:val="20"/>
                <w:szCs w:val="20"/>
              </w:rPr>
              <w:t>MADDE 4- </w:t>
            </w:r>
            <w:r w:rsidRPr="001540E3">
              <w:rPr>
                <w:rFonts w:ascii="Tahoma" w:hAnsi="Tahoma" w:cs="Tahoma"/>
                <w:sz w:val="20"/>
                <w:szCs w:val="20"/>
              </w:rPr>
              <w:t>Aynı Tebliğin “4.2. Kapsamda Olmayan Tahsilat ve Ödemeler” başlıklı bölümünün (h) bendi aşağıdaki şekilde değiştirilmiştir.</w:t>
            </w:r>
          </w:p>
          <w:p w14:paraId="66487AE1" w14:textId="77777777" w:rsidR="001540E3" w:rsidRPr="001540E3" w:rsidRDefault="001540E3" w:rsidP="001540E3">
            <w:pPr>
              <w:jc w:val="both"/>
              <w:rPr>
                <w:rFonts w:ascii="Tahoma" w:hAnsi="Tahoma" w:cs="Tahoma"/>
                <w:sz w:val="20"/>
                <w:szCs w:val="20"/>
              </w:rPr>
            </w:pPr>
            <w:r w:rsidRPr="001540E3">
              <w:rPr>
                <w:rFonts w:ascii="Tahoma" w:hAnsi="Tahoma" w:cs="Tahoma"/>
                <w:sz w:val="20"/>
                <w:szCs w:val="20"/>
              </w:rPr>
              <w:t>“</w:t>
            </w:r>
            <w:proofErr w:type="gramStart"/>
            <w:r w:rsidRPr="001540E3">
              <w:rPr>
                <w:rFonts w:ascii="Tahoma" w:hAnsi="Tahoma" w:cs="Tahoma"/>
                <w:sz w:val="20"/>
                <w:szCs w:val="20"/>
              </w:rPr>
              <w:t>h</w:t>
            </w:r>
            <w:proofErr w:type="gramEnd"/>
            <w:r w:rsidRPr="001540E3">
              <w:rPr>
                <w:rFonts w:ascii="Tahoma" w:hAnsi="Tahoma" w:cs="Tahoma"/>
                <w:sz w:val="20"/>
                <w:szCs w:val="20"/>
              </w:rPr>
              <w:t>) Tevsik zorunluluğu kapsamında olanların (mükellef olmayanlar hariç olmak üzere) yabancılar ve/veya Türkiye mukimi olmayan gerçek kişilerle yapacakları işlemlere ilişkin tahsilat ve ödemelerin (Şu kadar ki, düzenlenecek faturalarda yabancıların ve/veya Türkiye mukimi olmayan gerçek kişilerin pasaport numaralarının yazılması şart olup, bunun dışında pasaportların bir suretinin faturanın ekine konulmasına gerek bulunmamaktadır. Ayrıca, tahsil edilen tutarların tahsilatı takip eden ilk iş günü sonuna kadar aracı finansal kurumlara yatırılması zorunluluğu aranılmayacaktır.),”</w:t>
            </w:r>
          </w:p>
          <w:p w14:paraId="059F0A65" w14:textId="77777777" w:rsidR="001540E3" w:rsidRPr="001540E3" w:rsidRDefault="001540E3" w:rsidP="001540E3">
            <w:pPr>
              <w:jc w:val="both"/>
              <w:rPr>
                <w:rFonts w:ascii="Tahoma" w:hAnsi="Tahoma" w:cs="Tahoma"/>
                <w:sz w:val="20"/>
                <w:szCs w:val="20"/>
              </w:rPr>
            </w:pPr>
            <w:r w:rsidRPr="001540E3">
              <w:rPr>
                <w:rFonts w:ascii="Tahoma" w:hAnsi="Tahoma" w:cs="Tahoma"/>
                <w:b/>
                <w:bCs/>
                <w:sz w:val="20"/>
                <w:szCs w:val="20"/>
              </w:rPr>
              <w:lastRenderedPageBreak/>
              <w:t>MADDE 5- </w:t>
            </w:r>
            <w:r w:rsidRPr="001540E3">
              <w:rPr>
                <w:rFonts w:ascii="Tahoma" w:hAnsi="Tahoma" w:cs="Tahoma"/>
                <w:sz w:val="20"/>
                <w:szCs w:val="20"/>
              </w:rPr>
              <w:t>Bu Tebliğ yayımı tarihinde yürürlüğe girer.</w:t>
            </w:r>
          </w:p>
          <w:p w14:paraId="415E7372" w14:textId="77777777" w:rsidR="001540E3" w:rsidRPr="001540E3" w:rsidRDefault="001540E3" w:rsidP="001540E3">
            <w:pPr>
              <w:jc w:val="both"/>
              <w:rPr>
                <w:rFonts w:ascii="Tahoma" w:hAnsi="Tahoma" w:cs="Tahoma"/>
                <w:sz w:val="20"/>
                <w:szCs w:val="20"/>
              </w:rPr>
            </w:pPr>
            <w:r w:rsidRPr="001540E3">
              <w:rPr>
                <w:rFonts w:ascii="Tahoma" w:hAnsi="Tahoma" w:cs="Tahoma"/>
                <w:b/>
                <w:bCs/>
                <w:sz w:val="20"/>
                <w:szCs w:val="20"/>
              </w:rPr>
              <w:t>MADDE 6- </w:t>
            </w:r>
            <w:r w:rsidRPr="001540E3">
              <w:rPr>
                <w:rFonts w:ascii="Tahoma" w:hAnsi="Tahoma" w:cs="Tahoma"/>
                <w:sz w:val="20"/>
                <w:szCs w:val="20"/>
              </w:rPr>
              <w:t>Bu Tebliğ hükümlerini Hazine ve Maliye Bakanı yürütür.</w:t>
            </w:r>
          </w:p>
          <w:p w14:paraId="5F7FC370" w14:textId="77777777" w:rsidR="001540E3" w:rsidRPr="001540E3" w:rsidRDefault="001540E3" w:rsidP="001540E3">
            <w:pPr>
              <w:jc w:val="both"/>
              <w:rPr>
                <w:rFonts w:ascii="Tahoma" w:hAnsi="Tahoma" w:cs="Tahoma"/>
                <w:sz w:val="20"/>
                <w:szCs w:val="20"/>
              </w:rPr>
            </w:pPr>
            <w:r w:rsidRPr="001540E3">
              <w:rPr>
                <w:rFonts w:ascii="Tahoma" w:hAnsi="Tahoma" w:cs="Tahoma"/>
                <w:b/>
                <w:bCs/>
                <w:sz w:val="20"/>
                <w:szCs w:val="20"/>
              </w:rPr>
              <w:t> </w:t>
            </w:r>
          </w:p>
        </w:tc>
      </w:tr>
    </w:tbl>
    <w:p w14:paraId="6A3DC346" w14:textId="77777777" w:rsidR="00F40434" w:rsidRPr="001540E3" w:rsidRDefault="00F40434" w:rsidP="001540E3">
      <w:pPr>
        <w:jc w:val="both"/>
        <w:rPr>
          <w:rFonts w:ascii="Tahoma" w:hAnsi="Tahoma" w:cs="Tahoma"/>
          <w:sz w:val="20"/>
          <w:szCs w:val="20"/>
        </w:rPr>
      </w:pPr>
    </w:p>
    <w:sectPr w:rsidR="00F40434" w:rsidRPr="00154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E3"/>
    <w:rsid w:val="001540E3"/>
    <w:rsid w:val="005F324D"/>
    <w:rsid w:val="0068156B"/>
    <w:rsid w:val="008D455B"/>
    <w:rsid w:val="00961B1D"/>
    <w:rsid w:val="00C5036B"/>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65C4"/>
  <w15:chartTrackingRefBased/>
  <w15:docId w15:val="{27A2CC34-D87C-4023-8FCC-33B53EB9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54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54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540E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540E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540E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540E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540E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540E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540E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40E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540E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540E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540E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540E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540E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540E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540E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540E3"/>
    <w:rPr>
      <w:rFonts w:eastAsiaTheme="majorEastAsia" w:cstheme="majorBidi"/>
      <w:color w:val="272727" w:themeColor="text1" w:themeTint="D8"/>
    </w:rPr>
  </w:style>
  <w:style w:type="paragraph" w:styleId="KonuBal">
    <w:name w:val="Title"/>
    <w:basedOn w:val="Normal"/>
    <w:next w:val="Normal"/>
    <w:link w:val="KonuBalChar"/>
    <w:uiPriority w:val="10"/>
    <w:qFormat/>
    <w:rsid w:val="00154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540E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540E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540E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540E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540E3"/>
    <w:rPr>
      <w:i/>
      <w:iCs/>
      <w:color w:val="404040" w:themeColor="text1" w:themeTint="BF"/>
    </w:rPr>
  </w:style>
  <w:style w:type="paragraph" w:styleId="ListeParagraf">
    <w:name w:val="List Paragraph"/>
    <w:basedOn w:val="Normal"/>
    <w:uiPriority w:val="34"/>
    <w:qFormat/>
    <w:rsid w:val="001540E3"/>
    <w:pPr>
      <w:ind w:left="720"/>
      <w:contextualSpacing/>
    </w:pPr>
  </w:style>
  <w:style w:type="character" w:styleId="GlVurgulama">
    <w:name w:val="Intense Emphasis"/>
    <w:basedOn w:val="VarsaylanParagrafYazTipi"/>
    <w:uiPriority w:val="21"/>
    <w:qFormat/>
    <w:rsid w:val="001540E3"/>
    <w:rPr>
      <w:i/>
      <w:iCs/>
      <w:color w:val="0F4761" w:themeColor="accent1" w:themeShade="BF"/>
    </w:rPr>
  </w:style>
  <w:style w:type="paragraph" w:styleId="GlAlnt">
    <w:name w:val="Intense Quote"/>
    <w:basedOn w:val="Normal"/>
    <w:next w:val="Normal"/>
    <w:link w:val="GlAlntChar"/>
    <w:uiPriority w:val="30"/>
    <w:qFormat/>
    <w:rsid w:val="00154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540E3"/>
    <w:rPr>
      <w:i/>
      <w:iCs/>
      <w:color w:val="0F4761" w:themeColor="accent1" w:themeShade="BF"/>
    </w:rPr>
  </w:style>
  <w:style w:type="character" w:styleId="GlBavuru">
    <w:name w:val="Intense Reference"/>
    <w:basedOn w:val="VarsaylanParagrafYazTipi"/>
    <w:uiPriority w:val="32"/>
    <w:qFormat/>
    <w:rsid w:val="00154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717719">
      <w:bodyDiv w:val="1"/>
      <w:marLeft w:val="0"/>
      <w:marRight w:val="0"/>
      <w:marTop w:val="0"/>
      <w:marBottom w:val="0"/>
      <w:divBdr>
        <w:top w:val="none" w:sz="0" w:space="0" w:color="auto"/>
        <w:left w:val="none" w:sz="0" w:space="0" w:color="auto"/>
        <w:bottom w:val="none" w:sz="0" w:space="0" w:color="auto"/>
        <w:right w:val="none" w:sz="0" w:space="0" w:color="auto"/>
      </w:divBdr>
    </w:div>
    <w:div w:id="18778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2024-12-02T06:13:00Z</dcterms:created>
  <dcterms:modified xsi:type="dcterms:W3CDTF">2024-12-02T06:13:00Z</dcterms:modified>
</cp:coreProperties>
</file>